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bookmarkStart w:id="0" w:name="block-301447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552505" w:rsidRDefault="00552505" w:rsidP="00552505">
      <w:pPr>
        <w:spacing w:after="0"/>
        <w:ind w:left="120"/>
        <w:rPr>
          <w:lang w:val="ru-RU"/>
        </w:rPr>
      </w:pPr>
    </w:p>
    <w:p w:rsidR="00552505" w:rsidRDefault="00552505" w:rsidP="00552505">
      <w:pPr>
        <w:spacing w:after="0"/>
        <w:ind w:left="120"/>
        <w:rPr>
          <w:lang w:val="ru-RU"/>
        </w:rPr>
      </w:pPr>
    </w:p>
    <w:p w:rsidR="00552505" w:rsidRDefault="00552505" w:rsidP="00552505">
      <w:pPr>
        <w:spacing w:after="0"/>
        <w:ind w:left="120"/>
        <w:rPr>
          <w:lang w:val="ru-RU"/>
        </w:rPr>
      </w:pPr>
    </w:p>
    <w:p w:rsidR="00552505" w:rsidRDefault="00552505" w:rsidP="0055250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2505" w:rsidRPr="007707BA" w:rsidTr="00552505">
        <w:tc>
          <w:tcPr>
            <w:tcW w:w="3114" w:type="dxa"/>
          </w:tcPr>
          <w:p w:rsidR="00552505" w:rsidRDefault="005525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505" w:rsidRDefault="005525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2505" w:rsidRDefault="005525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  202</w:t>
            </w:r>
            <w:r w:rsidR="00F257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505" w:rsidRDefault="005525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2505" w:rsidRDefault="005525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</w:t>
            </w:r>
            <w:r w:rsidR="00F257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505" w:rsidRDefault="005525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52505" w:rsidRDefault="00D95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 33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57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сентября   202</w:t>
            </w:r>
            <w:r w:rsidR="00F257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0C42" w:rsidRPr="00AD7D59" w:rsidRDefault="00B00C42">
      <w:pPr>
        <w:spacing w:after="0"/>
        <w:ind w:left="120"/>
        <w:rPr>
          <w:lang w:val="ru-RU"/>
        </w:rPr>
      </w:pPr>
    </w:p>
    <w:p w:rsidR="00B00C42" w:rsidRPr="00AD7D59" w:rsidRDefault="001E56ED">
      <w:pPr>
        <w:spacing w:after="0"/>
        <w:ind w:left="120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‌</w:t>
      </w:r>
    </w:p>
    <w:p w:rsidR="00B00C42" w:rsidRPr="00AD7D59" w:rsidRDefault="00B00C42">
      <w:pPr>
        <w:spacing w:after="0"/>
        <w:ind w:left="120"/>
        <w:rPr>
          <w:lang w:val="ru-RU"/>
        </w:rPr>
      </w:pPr>
      <w:bookmarkStart w:id="3" w:name="_GoBack"/>
      <w:bookmarkEnd w:id="3"/>
    </w:p>
    <w:p w:rsidR="00B00C42" w:rsidRPr="00AD7D59" w:rsidRDefault="00B00C42">
      <w:pPr>
        <w:spacing w:after="0"/>
        <w:ind w:left="120"/>
        <w:rPr>
          <w:lang w:val="ru-RU"/>
        </w:rPr>
      </w:pPr>
    </w:p>
    <w:p w:rsidR="00B00C42" w:rsidRPr="00AD7D59" w:rsidRDefault="00B00C42">
      <w:pPr>
        <w:spacing w:after="0"/>
        <w:ind w:left="120"/>
        <w:rPr>
          <w:lang w:val="ru-RU"/>
        </w:rPr>
      </w:pPr>
    </w:p>
    <w:p w:rsidR="00B00C42" w:rsidRPr="00AD7D59" w:rsidRDefault="001E56ED">
      <w:pPr>
        <w:spacing w:after="0" w:line="408" w:lineRule="auto"/>
        <w:ind w:left="120"/>
        <w:jc w:val="center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0C42" w:rsidRPr="00AD7D59" w:rsidRDefault="001E56ED">
      <w:pPr>
        <w:spacing w:after="0" w:line="408" w:lineRule="auto"/>
        <w:ind w:left="120"/>
        <w:jc w:val="center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430140)</w:t>
      </w: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1E56ED">
      <w:pPr>
        <w:spacing w:after="0" w:line="408" w:lineRule="auto"/>
        <w:ind w:left="120"/>
        <w:jc w:val="center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B00C42" w:rsidRPr="00AD7D59" w:rsidRDefault="001E56ED">
      <w:pPr>
        <w:spacing w:after="0" w:line="408" w:lineRule="auto"/>
        <w:ind w:left="120"/>
        <w:jc w:val="center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552505" w:rsidRDefault="00552505" w:rsidP="005525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777abab-62ad-4e6d-bb66-8ccfe85cfe1b"/>
      <w:r w:rsidRPr="00E31225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 w:rsidR="004A3064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E3122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F25790">
        <w:rPr>
          <w:rFonts w:ascii="Times New Roman" w:hAnsi="Times New Roman"/>
          <w:b/>
          <w:color w:val="000000"/>
          <w:sz w:val="28"/>
          <w:lang w:val="ru-RU"/>
        </w:rPr>
        <w:t>4-2025</w:t>
      </w:r>
    </w:p>
    <w:p w:rsidR="007707BA" w:rsidRPr="00C65AE0" w:rsidRDefault="007707BA" w:rsidP="00552505">
      <w:pPr>
        <w:spacing w:after="0"/>
        <w:ind w:left="120"/>
        <w:jc w:val="center"/>
        <w:rPr>
          <w:lang w:val="ru-RU"/>
        </w:rPr>
      </w:pPr>
    </w:p>
    <w:p w:rsidR="00B00C42" w:rsidRPr="00AD7D59" w:rsidRDefault="001E56ED" w:rsidP="00F55ECC">
      <w:pPr>
        <w:spacing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6" w:name="block-3014475"/>
      <w:bookmarkEnd w:id="0"/>
      <w:r w:rsidRPr="00AD7D5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B00C42" w:rsidRDefault="001E56ED" w:rsidP="00F55ECC">
      <w:pPr>
        <w:spacing w:after="0" w:line="240" w:lineRule="auto"/>
        <w:ind w:firstLine="600"/>
        <w:jc w:val="both"/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0C42" w:rsidRPr="00AD7D59" w:rsidRDefault="001E56ED" w:rsidP="00F55EC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</w:t>
      </w:r>
      <w:proofErr w:type="gramStart"/>
      <w:r w:rsidRPr="00AD7D5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B00C42" w:rsidRPr="00AD7D59" w:rsidRDefault="001E56ED" w:rsidP="00F55EC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</w:t>
      </w:r>
      <w:proofErr w:type="gramStart"/>
      <w:r w:rsidRPr="00AD7D59">
        <w:rPr>
          <w:rFonts w:ascii="Times New Roman" w:hAnsi="Times New Roman"/>
          <w:color w:val="000000"/>
          <w:sz w:val="28"/>
          <w:lang w:val="ru-RU"/>
        </w:rPr>
        <w:t>образовательных достижений</w:t>
      </w:r>
      <w:proofErr w:type="gram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даёт примерное распределение учебного времени, рекомендуемого для изучения отдельных тем; 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предлагает примерную последовательность изучения учебного материала с учётом логики построения курса, внутрипредметных и межпредметных связей;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метапредметных, предметных), а также с учётом основных видов учебно-познавательных действий обучающегося по освоению содержания предмета.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</w:t>
      </w:r>
      <w:r w:rsidRPr="00AD7D59">
        <w:rPr>
          <w:rFonts w:ascii="Times New Roman" w:hAnsi="Times New Roman"/>
          <w:color w:val="000000"/>
          <w:sz w:val="28"/>
          <w:lang w:val="ru-RU"/>
        </w:rPr>
        <w:lastRenderedPageBreak/>
        <w:t>приняты положения ФГОС СОО о различиях базового и углублённого уровней изучения предмета.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межпредметных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144c275-5dda-41db-8d94-37f2810a0979"/>
      <w:r w:rsidRPr="00AD7D59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7"/>
      <w:r w:rsidRPr="00AD7D59">
        <w:rPr>
          <w:rFonts w:ascii="Times New Roman" w:hAnsi="Times New Roman"/>
          <w:color w:val="000000"/>
          <w:sz w:val="28"/>
          <w:lang w:val="ru-RU"/>
        </w:rPr>
        <w:t>‌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B00C42" w:rsidP="00F55ECC">
      <w:pPr>
        <w:spacing w:line="240" w:lineRule="auto"/>
        <w:rPr>
          <w:lang w:val="ru-RU"/>
        </w:rPr>
        <w:sectPr w:rsidR="00B00C42" w:rsidRPr="00AD7D59">
          <w:pgSz w:w="11906" w:h="16383"/>
          <w:pgMar w:top="1134" w:right="850" w:bottom="1134" w:left="1701" w:header="720" w:footer="720" w:gutter="0"/>
          <w:cols w:space="720"/>
        </w:sect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bookmarkStart w:id="8" w:name="block-3014477"/>
      <w:bookmarkEnd w:id="6"/>
      <w:r w:rsidRPr="00AD7D59">
        <w:rPr>
          <w:rFonts w:ascii="Times New Roman" w:hAnsi="Times New Roman"/>
          <w:color w:val="000000"/>
          <w:sz w:val="28"/>
          <w:lang w:val="ru-RU"/>
        </w:rPr>
        <w:t>​</w:t>
      </w:r>
      <w:r w:rsidRPr="00AD7D5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​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r w:rsidRPr="00552505">
        <w:rPr>
          <w:rFonts w:ascii="Times New Roman" w:hAnsi="Times New Roman"/>
          <w:color w:val="000000"/>
          <w:sz w:val="28"/>
          <w:lang w:val="ru-RU"/>
        </w:rPr>
        <w:t xml:space="preserve">Изомерия. Виды изомерии: структурная, пространственная.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Электронные эффекты в молекулах органических соединений (индуктивный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AD7D5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Особенности и классификация органических реакций.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-восстановительные реакции в органической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AD7D59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AD7D59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-транс-) изомерия.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(сопряжённые, изолированные, 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D7D59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AD7D59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AD7D59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AD7D59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552505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r w:rsidRPr="00552505">
        <w:rPr>
          <w:rFonts w:ascii="Times New Roman" w:hAnsi="Times New Roman"/>
          <w:color w:val="000000"/>
          <w:sz w:val="28"/>
          <w:lang w:val="ru-RU"/>
        </w:rPr>
        <w:t>Получение анилина из нитробензола.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552505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-аминокислот: глицин,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D7D59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атомным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AD7D59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AD7D59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Реакции ионного обмена.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52505">
        <w:rPr>
          <w:rFonts w:ascii="Times New Roman" w:hAnsi="Times New Roman"/>
          <w:color w:val="000000"/>
          <w:sz w:val="28"/>
          <w:lang w:val="ru-RU"/>
        </w:rPr>
        <w:t xml:space="preserve">Важнейшие кислородсодержащие соединения галогенов. </w:t>
      </w:r>
      <w:r w:rsidRPr="00AD7D59">
        <w:rPr>
          <w:rFonts w:ascii="Times New Roman" w:hAnsi="Times New Roman"/>
          <w:color w:val="000000"/>
          <w:sz w:val="28"/>
          <w:lang w:val="ru-RU"/>
        </w:rPr>
        <w:t>Лабораторные и промышленные способы получения галогенов. Применение галогенов и их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AD7D59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Применение простых веществ, образованных углеродом, и его соединений.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AD7D59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(Б-групп) Периодической системы химических элементов.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AD7D59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AD7D59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AD7D59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AD7D59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 «Металлы главных подгрупп», «Металлы побочных подгрупп».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Химия пищи: основные компоненты, пищевые добавки. Роль химии в обеспечении пищевой безопасности.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Химия в сельском хозяйстве. Органические и минеральные удобрения.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B00C42" w:rsidP="00F55ECC">
      <w:pPr>
        <w:spacing w:line="240" w:lineRule="auto"/>
        <w:rPr>
          <w:lang w:val="ru-RU"/>
        </w:rPr>
        <w:sectPr w:rsidR="00B00C42" w:rsidRPr="00AD7D59">
          <w:pgSz w:w="11906" w:h="16383"/>
          <w:pgMar w:top="1134" w:right="850" w:bottom="1134" w:left="1701" w:header="720" w:footer="720" w:gutter="0"/>
          <w:cols w:space="720"/>
        </w:sect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bookmarkStart w:id="9" w:name="block-3014476"/>
      <w:bookmarkEnd w:id="8"/>
      <w:r w:rsidRPr="00AD7D5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ХИМИИ НА УГЛУБЛЕННОМ УРОВНЕ СРЕДНЕГО ОБЩЕГО ОБРАЗОВАНИЯ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РЕЗУЛЬТАТЫ​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AD7D59">
        <w:rPr>
          <w:rFonts w:ascii="Times New Roman" w:hAnsi="Times New Roman"/>
          <w:color w:val="000000"/>
          <w:sz w:val="28"/>
          <w:lang w:val="ru-RU"/>
        </w:rPr>
        <w:t>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AD7D59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  <w:bookmarkStart w:id="10" w:name="_Toc139840030"/>
      <w:bookmarkEnd w:id="10"/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мальтоза, фруктоза, анилин, дивинил, изопрен, хлоропрен, стирол и другие);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(моно-,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AD7D5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веществ;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», «основное и возбуждённое энергетические состояния атома»; объяснять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сущность: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гидроксокомплексов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задачей.</w:t>
      </w:r>
    </w:p>
    <w:p w:rsidR="00B00C42" w:rsidRPr="00AD7D59" w:rsidRDefault="00B00C42" w:rsidP="00F55ECC">
      <w:pPr>
        <w:spacing w:line="240" w:lineRule="auto"/>
        <w:rPr>
          <w:lang w:val="ru-RU"/>
        </w:rPr>
        <w:sectPr w:rsidR="00B00C42" w:rsidRPr="00AD7D59">
          <w:pgSz w:w="11906" w:h="16383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bookmarkStart w:id="11" w:name="block-3014478"/>
      <w:bookmarkEnd w:id="9"/>
      <w:r w:rsidRPr="00AD7D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B00C4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</w:tr>
      <w:tr w:rsidR="00B00C42" w:rsidRPr="00D95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7D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00C4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bookmarkStart w:id="12" w:name="block-3014473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767"/>
        <w:gridCol w:w="1199"/>
        <w:gridCol w:w="1841"/>
        <w:gridCol w:w="1910"/>
        <w:gridCol w:w="2221"/>
      </w:tblGrid>
      <w:tr w:rsidR="00F55ECC" w:rsidTr="00F55ECC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4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классификация углеводов (моно-,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EA0F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EA0F9E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858"/>
        <w:gridCol w:w="1133"/>
        <w:gridCol w:w="1841"/>
        <w:gridCol w:w="1910"/>
        <w:gridCol w:w="2221"/>
      </w:tblGrid>
      <w:tr w:rsidR="00F55ECC" w:rsidTr="00F55ECC">
        <w:trPr>
          <w:trHeight w:val="144"/>
          <w:tblCellSpacing w:w="20" w:type="nil"/>
        </w:trPr>
        <w:tc>
          <w:tcPr>
            <w:tcW w:w="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4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атомным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Важнейшие окислители и восстановители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-ионного) баланса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"Сера и её соединения"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"Азот и фосфор и их соединения"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гидроксида алюминия,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их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меди и её соединений, их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EA0F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EA0F9E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bookmarkStart w:id="13" w:name="block-3014479"/>
      <w:bookmarkEnd w:id="12"/>
      <w:r w:rsidRPr="00F55EC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r w:rsidRPr="00F55E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r w:rsidRPr="00F55EC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A0F9E" w:rsidRPr="0083034C" w:rsidRDefault="001E56ED" w:rsidP="00484DC0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lang w:val="ru-RU"/>
        </w:rPr>
      </w:pPr>
      <w:r w:rsidRPr="00F55ECC">
        <w:rPr>
          <w:rFonts w:ascii="Times New Roman" w:hAnsi="Times New Roman"/>
          <w:color w:val="000000"/>
          <w:sz w:val="28"/>
          <w:lang w:val="ru-RU"/>
        </w:rPr>
        <w:t>​‌‌</w:t>
      </w:r>
      <w:r w:rsidR="00EA0F9E">
        <w:rPr>
          <w:rFonts w:ascii="Times New Roman" w:hAnsi="Times New Roman"/>
          <w:color w:val="000000"/>
          <w:sz w:val="24"/>
          <w:lang w:val="ru-RU"/>
        </w:rPr>
        <w:t xml:space="preserve">- </w:t>
      </w:r>
      <w:r w:rsidR="00EA0F9E" w:rsidRPr="00EA0F9E">
        <w:rPr>
          <w:rFonts w:ascii="Times New Roman" w:hAnsi="Times New Roman"/>
          <w:color w:val="000000"/>
          <w:sz w:val="24"/>
          <w:lang w:val="ru-RU"/>
        </w:rPr>
        <w:t xml:space="preserve">Химия, 10 класс/ Еремин В.В., Кузьменко Н.Е., </w:t>
      </w:r>
      <w:proofErr w:type="spellStart"/>
      <w:r w:rsidR="00EA0F9E" w:rsidRPr="00EA0F9E">
        <w:rPr>
          <w:rFonts w:ascii="Times New Roman" w:hAnsi="Times New Roman"/>
          <w:color w:val="000000"/>
          <w:sz w:val="24"/>
          <w:lang w:val="ru-RU"/>
        </w:rPr>
        <w:t>Те</w:t>
      </w:r>
      <w:r w:rsidR="00484DC0">
        <w:rPr>
          <w:rFonts w:ascii="Times New Roman" w:hAnsi="Times New Roman"/>
          <w:color w:val="000000"/>
          <w:sz w:val="24"/>
          <w:lang w:val="ru-RU"/>
        </w:rPr>
        <w:t>ренин</w:t>
      </w:r>
      <w:proofErr w:type="spellEnd"/>
      <w:r w:rsidR="00484DC0">
        <w:rPr>
          <w:rFonts w:ascii="Times New Roman" w:hAnsi="Times New Roman"/>
          <w:color w:val="000000"/>
          <w:sz w:val="24"/>
          <w:lang w:val="ru-RU"/>
        </w:rPr>
        <w:t xml:space="preserve"> В.И., Дроздов А.А., Лунин В</w:t>
      </w:r>
      <w:r w:rsidR="00EA0F9E" w:rsidRPr="00EA0F9E">
        <w:rPr>
          <w:rFonts w:ascii="Times New Roman" w:hAnsi="Times New Roman"/>
          <w:color w:val="000000"/>
          <w:sz w:val="24"/>
          <w:lang w:val="ru-RU"/>
        </w:rPr>
        <w:t xml:space="preserve">.В.; под редакцией Лунина В.В., Общество с ограниченной ответственностью </w:t>
      </w:r>
      <w:r w:rsidR="00EA0F9E" w:rsidRPr="0083034C">
        <w:rPr>
          <w:rFonts w:ascii="Times New Roman" w:hAnsi="Times New Roman"/>
          <w:color w:val="000000"/>
          <w:sz w:val="24"/>
          <w:lang w:val="ru-RU"/>
        </w:rPr>
        <w:t>«ДРОФА»; Акционерное общество «Издательство «Просвещение»</w:t>
      </w:r>
    </w:p>
    <w:p w:rsidR="00B00C42" w:rsidRDefault="00EA0F9E" w:rsidP="00EA0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0"/>
          <w:lang w:val="ru-RU"/>
        </w:rPr>
        <w:t xml:space="preserve">- </w:t>
      </w:r>
      <w:r w:rsidRPr="00EA0F9E">
        <w:rPr>
          <w:rFonts w:ascii="Times New Roman" w:hAnsi="Times New Roman" w:cs="Times New Roman"/>
          <w:sz w:val="24"/>
          <w:szCs w:val="20"/>
          <w:lang w:val="ru-RU"/>
        </w:rPr>
        <w:t>Химия. 10 класс. Углубленный уровень: учебник / О.С. Габриелян, И.Г. Остроумов, С.Ю. Пономарев. – М.: Дрофа, 2018.</w:t>
      </w:r>
    </w:p>
    <w:p w:rsidR="0083034C" w:rsidRDefault="00EA0F9E" w:rsidP="00EA0F9E">
      <w:pPr>
        <w:spacing w:after="0" w:line="240" w:lineRule="auto"/>
        <w:ind w:left="120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- </w:t>
      </w:r>
      <w:r w:rsidRPr="00EA0F9E">
        <w:rPr>
          <w:rFonts w:ascii="Times New Roman" w:hAnsi="Times New Roman"/>
          <w:color w:val="000000"/>
          <w:sz w:val="24"/>
          <w:lang w:val="ru-RU"/>
        </w:rPr>
        <w:t>Химия, 11 класс/ Еремин В.В., Кузьменко Н.Е., Дроздов А.А., Лунин В.В.; под редакцией Лунина В.В., Общество с ограниченной ответственностью «ДРОФА»; Акционерное общество «Издательство «Просвещение»‌​</w:t>
      </w:r>
      <w:r w:rsidR="0083034C" w:rsidRPr="0083034C">
        <w:rPr>
          <w:color w:val="000000"/>
          <w:sz w:val="28"/>
          <w:szCs w:val="28"/>
          <w:lang w:val="ru-RU"/>
        </w:rPr>
        <w:t>‌</w:t>
      </w:r>
    </w:p>
    <w:p w:rsidR="00EA0F9E" w:rsidRPr="0083034C" w:rsidRDefault="0083034C" w:rsidP="0083034C">
      <w:pPr>
        <w:spacing w:after="0" w:line="240" w:lineRule="auto"/>
        <w:ind w:left="120"/>
        <w:jc w:val="both"/>
        <w:rPr>
          <w:sz w:val="20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83034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Периодическая система химических элементов </w:t>
      </w:r>
      <w:proofErr w:type="spellStart"/>
      <w:r w:rsidRPr="0083034C">
        <w:rPr>
          <w:rFonts w:ascii="Times New Roman" w:hAnsi="Times New Roman" w:cs="Times New Roman"/>
          <w:color w:val="000000"/>
          <w:sz w:val="24"/>
          <w:szCs w:val="28"/>
          <w:lang w:val="ru-RU"/>
        </w:rPr>
        <w:t>Д.И.Менделеева</w:t>
      </w:r>
      <w:proofErr w:type="spellEnd"/>
      <w:r w:rsidRPr="0083034C">
        <w:rPr>
          <w:rFonts w:ascii="Times New Roman" w:hAnsi="Times New Roman" w:cs="Times New Roman"/>
          <w:color w:val="000000"/>
          <w:sz w:val="24"/>
          <w:szCs w:val="28"/>
          <w:lang w:val="ru-RU"/>
        </w:rPr>
        <w:t>, таблица растворимости, электрохимический ряд напряжения металлов‌</w:t>
      </w:r>
    </w:p>
    <w:p w:rsidR="00EA0F9E" w:rsidRPr="00EA0F9E" w:rsidRDefault="00EA0F9E" w:rsidP="00EA0F9E">
      <w:pPr>
        <w:spacing w:after="0" w:line="240" w:lineRule="auto"/>
        <w:ind w:left="120"/>
        <w:jc w:val="both"/>
        <w:rPr>
          <w:lang w:val="ru-RU"/>
        </w:rPr>
      </w:pPr>
    </w:p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r w:rsidRPr="00F55E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4DC0" w:rsidRDefault="001E56ED" w:rsidP="00484DC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 w:rsidRPr="00F55ECC">
        <w:rPr>
          <w:rFonts w:ascii="Times New Roman" w:hAnsi="Times New Roman"/>
          <w:color w:val="000000"/>
          <w:sz w:val="28"/>
          <w:lang w:val="ru-RU"/>
        </w:rPr>
        <w:t>​‌‌​</w:t>
      </w:r>
      <w:r w:rsidR="00484DC0" w:rsidRPr="00484DC0">
        <w:rPr>
          <w:sz w:val="24"/>
          <w:lang w:val="ru-RU"/>
        </w:rPr>
        <w:br/>
      </w:r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484DC0">
        <w:rPr>
          <w:rFonts w:ascii="Times New Roman" w:hAnsi="Times New Roman"/>
          <w:color w:val="000000"/>
          <w:sz w:val="24"/>
          <w:lang w:val="ru-RU"/>
        </w:rPr>
        <w:t>1</w:t>
      </w:r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="00484DC0" w:rsidRPr="00484DC0">
        <w:rPr>
          <w:rFonts w:ascii="Times New Roman" w:hAnsi="Times New Roman"/>
          <w:color w:val="000000"/>
          <w:sz w:val="24"/>
          <w:lang w:val="ru-RU"/>
        </w:rPr>
        <w:t>Ерыгин</w:t>
      </w:r>
      <w:proofErr w:type="spellEnd"/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 Д. П., Шишкин Е. А. Методика решения задач по химии: учеб. пособие для студентов </w:t>
      </w:r>
      <w:proofErr w:type="spellStart"/>
      <w:r w:rsidR="00484DC0" w:rsidRPr="00484DC0">
        <w:rPr>
          <w:rFonts w:ascii="Times New Roman" w:hAnsi="Times New Roman"/>
          <w:color w:val="000000"/>
          <w:sz w:val="24"/>
          <w:lang w:val="ru-RU"/>
        </w:rPr>
        <w:t>пед</w:t>
      </w:r>
      <w:proofErr w:type="spellEnd"/>
      <w:r w:rsidR="00484DC0" w:rsidRPr="00484DC0">
        <w:rPr>
          <w:rFonts w:ascii="Times New Roman" w:hAnsi="Times New Roman"/>
          <w:color w:val="000000"/>
          <w:sz w:val="24"/>
          <w:lang w:val="ru-RU"/>
        </w:rPr>
        <w:t>. ин-</w:t>
      </w:r>
      <w:proofErr w:type="spellStart"/>
      <w:r w:rsidR="00484DC0" w:rsidRPr="00484DC0">
        <w:rPr>
          <w:rFonts w:ascii="Times New Roman" w:hAnsi="Times New Roman"/>
          <w:color w:val="000000"/>
          <w:sz w:val="24"/>
          <w:lang w:val="ru-RU"/>
        </w:rPr>
        <w:t>тов</w:t>
      </w:r>
      <w:proofErr w:type="spellEnd"/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 по биол. и хим. спец. – М.: Просвещение, 1989. – 176 с.</w:t>
      </w:r>
      <w:r w:rsidR="00484DC0" w:rsidRPr="00484DC0">
        <w:rPr>
          <w:sz w:val="24"/>
          <w:lang w:val="ru-RU"/>
        </w:rPr>
        <w:br/>
      </w:r>
      <w:r w:rsidR="00484DC0">
        <w:rPr>
          <w:rFonts w:ascii="Times New Roman" w:hAnsi="Times New Roman"/>
          <w:color w:val="000000"/>
          <w:sz w:val="24"/>
          <w:lang w:val="ru-RU"/>
        </w:rPr>
        <w:t xml:space="preserve"> 2</w:t>
      </w:r>
      <w:r w:rsidR="00484DC0" w:rsidRPr="00484DC0">
        <w:rPr>
          <w:rFonts w:ascii="Times New Roman" w:hAnsi="Times New Roman"/>
          <w:color w:val="000000"/>
          <w:sz w:val="24"/>
          <w:lang w:val="ru-RU"/>
        </w:rPr>
        <w:t>. Злотников Э. Г. Химический эксперимент как специфический метод обучения // Первое сентября. – 2007. – № 24.</w:t>
      </w:r>
    </w:p>
    <w:p w:rsidR="00484DC0" w:rsidRDefault="00484DC0" w:rsidP="00484DC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3</w:t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. Молчанова Г. Н., </w:t>
      </w:r>
      <w:proofErr w:type="spellStart"/>
      <w:r w:rsidRPr="00484DC0">
        <w:rPr>
          <w:rFonts w:ascii="Times New Roman" w:hAnsi="Times New Roman"/>
          <w:color w:val="000000"/>
          <w:sz w:val="24"/>
          <w:lang w:val="ru-RU"/>
        </w:rPr>
        <w:t>Снастина</w:t>
      </w:r>
      <w:proofErr w:type="spellEnd"/>
      <w:r w:rsidRPr="00484DC0">
        <w:rPr>
          <w:rFonts w:ascii="Times New Roman" w:hAnsi="Times New Roman"/>
          <w:color w:val="000000"/>
          <w:sz w:val="24"/>
          <w:lang w:val="ru-RU"/>
        </w:rPr>
        <w:t xml:space="preserve"> М. Г. Количественные отношения в химии // Химия для школьников. – 2020. – № 4.</w:t>
      </w:r>
    </w:p>
    <w:p w:rsidR="00484DC0" w:rsidRDefault="00484DC0" w:rsidP="00484DC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4</w:t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. Общая методика обучения химии в школе / Р. Г. Иванова, Н. А. Городилова, Д. Ю. </w:t>
      </w:r>
      <w:proofErr w:type="spellStart"/>
      <w:r w:rsidRPr="00484DC0">
        <w:rPr>
          <w:rFonts w:ascii="Times New Roman" w:hAnsi="Times New Roman"/>
          <w:color w:val="000000"/>
          <w:sz w:val="24"/>
          <w:lang w:val="ru-RU"/>
        </w:rPr>
        <w:t>Добротин</w:t>
      </w:r>
      <w:proofErr w:type="spellEnd"/>
      <w:r w:rsidRPr="00484DC0">
        <w:rPr>
          <w:rFonts w:ascii="Times New Roman" w:hAnsi="Times New Roman"/>
          <w:color w:val="000000"/>
          <w:sz w:val="24"/>
          <w:lang w:val="ru-RU"/>
        </w:rPr>
        <w:t xml:space="preserve"> и др.; под ред. Р. Г. Ивановой. – М.: Дрофа, 2008. – 319 с. (Российская академия образования – учителю). А.А. Каверина, Р.Г. Иванова. Гл. Нормативная база химического образования в средней школе.</w:t>
      </w:r>
    </w:p>
    <w:p w:rsidR="00484DC0" w:rsidRPr="003E64E9" w:rsidRDefault="00484DC0" w:rsidP="00484DC0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5</w:t>
      </w:r>
      <w:r w:rsidRPr="00484DC0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484DC0">
        <w:rPr>
          <w:rFonts w:ascii="Times New Roman" w:hAnsi="Times New Roman"/>
          <w:color w:val="000000"/>
          <w:sz w:val="24"/>
          <w:lang w:val="ru-RU"/>
        </w:rPr>
        <w:t>Химия. Решение заданий повышенного и высокого уровня сложности.</w:t>
      </w:r>
      <w:r w:rsidRPr="00484DC0">
        <w:rPr>
          <w:sz w:val="24"/>
          <w:lang w:val="ru-RU"/>
        </w:rPr>
        <w:br/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 Как получить максимальный балл на ЕГЭ: учеб. пособие / А. А. Каверина,</w:t>
      </w:r>
      <w:r w:rsidRPr="00484DC0">
        <w:rPr>
          <w:sz w:val="24"/>
          <w:lang w:val="ru-RU"/>
        </w:rPr>
        <w:br/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 Г. Н. Молчанова, Н. В. </w:t>
      </w:r>
      <w:proofErr w:type="spellStart"/>
      <w:r w:rsidRPr="00484DC0">
        <w:rPr>
          <w:rFonts w:ascii="Times New Roman" w:hAnsi="Times New Roman"/>
          <w:color w:val="000000"/>
          <w:sz w:val="24"/>
          <w:lang w:val="ru-RU"/>
        </w:rPr>
        <w:t>Свириденкова</w:t>
      </w:r>
      <w:proofErr w:type="spellEnd"/>
      <w:r w:rsidRPr="00484DC0">
        <w:rPr>
          <w:rFonts w:ascii="Times New Roman" w:hAnsi="Times New Roman"/>
          <w:color w:val="000000"/>
          <w:sz w:val="24"/>
          <w:lang w:val="ru-RU"/>
        </w:rPr>
        <w:t>, С. В. Стаханова. – М.: Интеллект-Центр,</w:t>
      </w:r>
      <w:r w:rsidRPr="00484DC0">
        <w:rPr>
          <w:sz w:val="24"/>
          <w:lang w:val="ru-RU"/>
        </w:rPr>
        <w:br/>
      </w:r>
      <w:bookmarkStart w:id="14" w:name="2ddfae2e-4918-4d3c-9f49-e7bdce021983"/>
      <w:r w:rsidRPr="00484DC0">
        <w:rPr>
          <w:rFonts w:ascii="Times New Roman" w:hAnsi="Times New Roman"/>
          <w:color w:val="000000"/>
          <w:sz w:val="24"/>
          <w:lang w:val="ru-RU"/>
        </w:rPr>
        <w:t xml:space="preserve"> 2015. – 216 с. </w:t>
      </w:r>
      <w:bookmarkEnd w:id="14"/>
      <w:r w:rsidRPr="00484DC0">
        <w:rPr>
          <w:rFonts w:ascii="Times New Roman" w:hAnsi="Times New Roman"/>
          <w:color w:val="000000"/>
          <w:sz w:val="24"/>
          <w:lang w:val="ru-RU"/>
        </w:rPr>
        <w:t>‌​</w:t>
      </w:r>
    </w:p>
    <w:p w:rsidR="00B00C42" w:rsidRPr="00F55ECC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F55ECC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5C32" w:rsidRDefault="001E56ED" w:rsidP="00F55EC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4DC0">
        <w:rPr>
          <w:rFonts w:ascii="Times New Roman" w:hAnsi="Times New Roman"/>
          <w:color w:val="000000"/>
          <w:sz w:val="28"/>
          <w:lang w:val="ru-RU"/>
        </w:rPr>
        <w:t>​</w:t>
      </w:r>
      <w:r w:rsidRPr="00484DC0">
        <w:rPr>
          <w:rFonts w:ascii="Times New Roman" w:hAnsi="Times New Roman"/>
          <w:color w:val="333333"/>
          <w:sz w:val="28"/>
          <w:lang w:val="ru-RU"/>
        </w:rPr>
        <w:t>​‌‌</w:t>
      </w:r>
      <w:r w:rsidRPr="00484DC0">
        <w:rPr>
          <w:rFonts w:ascii="Times New Roman" w:hAnsi="Times New Roman"/>
          <w:color w:val="000000"/>
          <w:sz w:val="28"/>
          <w:lang w:val="ru-RU"/>
        </w:rPr>
        <w:t>​</w:t>
      </w:r>
      <w:hyperlink r:id="rId6" w:history="1">
        <w:r w:rsidR="00484DC0" w:rsidRPr="00CF255D">
          <w:rPr>
            <w:rStyle w:val="ab"/>
            <w:rFonts w:ascii="Times New Roman" w:hAnsi="Times New Roman"/>
            <w:sz w:val="28"/>
          </w:rPr>
          <w:t>https</w:t>
        </w:r>
        <w:r w:rsidR="00484DC0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84DC0" w:rsidRPr="00CF255D">
          <w:rPr>
            <w:rStyle w:val="ab"/>
            <w:rFonts w:ascii="Times New Roman" w:hAnsi="Times New Roman"/>
            <w:sz w:val="28"/>
          </w:rPr>
          <w:t>resh</w:t>
        </w:r>
        <w:r w:rsidR="00484DC0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84DC0" w:rsidRPr="00CF255D">
          <w:rPr>
            <w:rStyle w:val="ab"/>
            <w:rFonts w:ascii="Times New Roman" w:hAnsi="Times New Roman"/>
            <w:sz w:val="28"/>
          </w:rPr>
          <w:t>edu</w:t>
        </w:r>
        <w:r w:rsidR="00484DC0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84DC0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484D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7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nsportal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8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www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yaklass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9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interneturok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10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infourok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11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m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edsoo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12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znanio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13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ege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sdamgia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1E56ED" w:rsidRPr="00F55ECC" w:rsidRDefault="004A3064" w:rsidP="006D5C32">
      <w:pPr>
        <w:spacing w:after="0" w:line="240" w:lineRule="auto"/>
        <w:ind w:left="120"/>
        <w:rPr>
          <w:lang w:val="ru-RU"/>
        </w:rPr>
      </w:pPr>
      <w:hyperlink r:id="rId14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urok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6D5C32" w:rsidRPr="00CF255D">
          <w:rPr>
            <w:rStyle w:val="ab"/>
            <w:rFonts w:ascii="Times New Roman" w:hAnsi="Times New Roman"/>
            <w:sz w:val="28"/>
          </w:rPr>
          <w:t>sept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15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multiurok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hyperlink r:id="rId16" w:history="1">
        <w:r w:rsidR="006D5C32" w:rsidRPr="00CF255D">
          <w:rPr>
            <w:rStyle w:val="ab"/>
            <w:rFonts w:ascii="Times New Roman" w:hAnsi="Times New Roman"/>
            <w:sz w:val="28"/>
          </w:rPr>
          <w:t>https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5C32" w:rsidRPr="00CF255D">
          <w:rPr>
            <w:rStyle w:val="ab"/>
            <w:rFonts w:ascii="Times New Roman" w:hAnsi="Times New Roman"/>
            <w:sz w:val="28"/>
          </w:rPr>
          <w:t>foxford</w:t>
        </w:r>
        <w:r w:rsidR="006D5C32" w:rsidRPr="00CF255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6D5C32" w:rsidRPr="00CF255D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3"/>
    </w:p>
    <w:sectPr w:rsidR="001E56ED" w:rsidRPr="00F55E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2118"/>
    <w:multiLevelType w:val="multilevel"/>
    <w:tmpl w:val="7AE8B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C20C94"/>
    <w:multiLevelType w:val="multilevel"/>
    <w:tmpl w:val="653E8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D46DA6"/>
    <w:multiLevelType w:val="multilevel"/>
    <w:tmpl w:val="6AB63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442B3B"/>
    <w:multiLevelType w:val="multilevel"/>
    <w:tmpl w:val="5A361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0C42"/>
    <w:rsid w:val="001E56ED"/>
    <w:rsid w:val="00484DC0"/>
    <w:rsid w:val="004A3064"/>
    <w:rsid w:val="00552505"/>
    <w:rsid w:val="006D5C32"/>
    <w:rsid w:val="007707BA"/>
    <w:rsid w:val="0083034C"/>
    <w:rsid w:val="008F53F1"/>
    <w:rsid w:val="00AD7D59"/>
    <w:rsid w:val="00B00C42"/>
    <w:rsid w:val="00D9505E"/>
    <w:rsid w:val="00EA0F9E"/>
    <w:rsid w:val="00F25790"/>
    <w:rsid w:val="00F5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44737"/>
  <w15:docId w15:val="{ECEA35BA-AB99-4C7A-A2A6-0D3E9EA3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1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" TargetMode="External"/><Relationship Id="rId13" Type="http://schemas.openxmlformats.org/officeDocument/2006/relationships/hyperlink" Target="https://ege.sdamgia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sportal.ru" TargetMode="External"/><Relationship Id="rId12" Type="http://schemas.openxmlformats.org/officeDocument/2006/relationships/hyperlink" Target="https://znanio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foxford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m.edso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ultiurok.ru" TargetMode="External"/><Relationship Id="rId10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" TargetMode="External"/><Relationship Id="rId14" Type="http://schemas.openxmlformats.org/officeDocument/2006/relationships/hyperlink" Target="https://urok.1sep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5CCD2-08C4-4866-AC63-ECCCEC45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50</Pages>
  <Words>12771</Words>
  <Characters>72797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13</cp:revision>
  <dcterms:created xsi:type="dcterms:W3CDTF">2023-08-14T13:03:00Z</dcterms:created>
  <dcterms:modified xsi:type="dcterms:W3CDTF">2024-09-16T06:46:00Z</dcterms:modified>
</cp:coreProperties>
</file>